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881A55" w14:textId="5C2E01E2" w:rsidR="00307086" w:rsidRDefault="00FA6CCA" w:rsidP="002C7523">
      <w:pPr>
        <w:spacing w:before="240"/>
        <w:jc w:val="both"/>
        <w:rPr>
          <w:rFonts w:asciiTheme="minorHAnsi" w:hAnsiTheme="minorHAnsi" w:cstheme="minorHAnsi"/>
          <w:b/>
          <w:bCs/>
        </w:rPr>
      </w:pPr>
      <w:r>
        <w:rPr>
          <w:rFonts w:asciiTheme="minorHAnsi" w:hAnsiTheme="minorHAnsi" w:cstheme="minorHAnsi"/>
          <w:b/>
          <w:bCs/>
        </w:rPr>
        <w:t xml:space="preserve">Conferencia </w:t>
      </w:r>
      <w:r w:rsidR="00BB20D0" w:rsidRPr="00BB20D0">
        <w:rPr>
          <w:rFonts w:asciiTheme="minorHAnsi" w:hAnsiTheme="minorHAnsi" w:cstheme="minorHAnsi"/>
          <w:b/>
          <w:bCs/>
          <w:i/>
        </w:rPr>
        <w:t>El vino español ante los aranceles de Trump: retos y amenazas</w:t>
      </w:r>
    </w:p>
    <w:p w14:paraId="23E40D21" w14:textId="25AAD125" w:rsidR="002C7523" w:rsidRPr="002C7523" w:rsidRDefault="002C7523" w:rsidP="002C7523">
      <w:pPr>
        <w:spacing w:before="240"/>
        <w:jc w:val="both"/>
        <w:rPr>
          <w:rFonts w:asciiTheme="minorHAnsi" w:hAnsiTheme="minorHAnsi" w:cstheme="minorHAnsi"/>
          <w:b/>
          <w:bCs/>
          <w:sz w:val="36"/>
          <w:szCs w:val="36"/>
        </w:rPr>
      </w:pPr>
      <w:r w:rsidRPr="002C7523">
        <w:rPr>
          <w:rFonts w:asciiTheme="minorHAnsi" w:hAnsiTheme="minorHAnsi" w:cstheme="minorHAnsi"/>
          <w:b/>
          <w:bCs/>
          <w:sz w:val="36"/>
          <w:szCs w:val="36"/>
        </w:rPr>
        <w:t xml:space="preserve">El vino español ante la </w:t>
      </w:r>
      <w:proofErr w:type="spellStart"/>
      <w:r w:rsidRPr="002C7523">
        <w:rPr>
          <w:rFonts w:asciiTheme="minorHAnsi" w:hAnsiTheme="minorHAnsi" w:cstheme="minorHAnsi"/>
          <w:b/>
          <w:bCs/>
          <w:sz w:val="36"/>
          <w:szCs w:val="36"/>
        </w:rPr>
        <w:t>amenza</w:t>
      </w:r>
      <w:proofErr w:type="spellEnd"/>
      <w:r w:rsidRPr="002C7523">
        <w:rPr>
          <w:rFonts w:asciiTheme="minorHAnsi" w:hAnsiTheme="minorHAnsi" w:cstheme="minorHAnsi"/>
          <w:b/>
          <w:bCs/>
          <w:sz w:val="36"/>
          <w:szCs w:val="36"/>
        </w:rPr>
        <w:t xml:space="preserve"> arancelaria de EEUU: Estefanía Molina expone en FENAVIN</w:t>
      </w:r>
      <w:r>
        <w:rPr>
          <w:rFonts w:asciiTheme="minorHAnsi" w:hAnsiTheme="minorHAnsi" w:cstheme="minorHAnsi"/>
          <w:b/>
          <w:bCs/>
          <w:sz w:val="36"/>
          <w:szCs w:val="36"/>
        </w:rPr>
        <w:t xml:space="preserve"> medidas de respuesta y adaptación</w:t>
      </w:r>
    </w:p>
    <w:p w14:paraId="1BEE76B8" w14:textId="77777777" w:rsidR="002C7523" w:rsidRDefault="002C7523" w:rsidP="002C7523">
      <w:pPr>
        <w:jc w:val="both"/>
        <w:rPr>
          <w:rFonts w:asciiTheme="minorHAnsi" w:hAnsiTheme="minorHAnsi" w:cstheme="minorHAnsi"/>
          <w:b/>
          <w:bCs/>
        </w:rPr>
      </w:pPr>
    </w:p>
    <w:p w14:paraId="16F6014D" w14:textId="6326C25F" w:rsidR="002C7523" w:rsidRPr="002C7523" w:rsidRDefault="002C7523" w:rsidP="002C7523">
      <w:pPr>
        <w:jc w:val="both"/>
        <w:rPr>
          <w:rFonts w:asciiTheme="minorHAnsi" w:hAnsiTheme="minorHAnsi" w:cstheme="minorHAnsi"/>
          <w:b/>
          <w:bCs/>
        </w:rPr>
      </w:pPr>
      <w:r w:rsidRPr="002C7523">
        <w:rPr>
          <w:rFonts w:asciiTheme="minorHAnsi" w:hAnsiTheme="minorHAnsi" w:cstheme="minorHAnsi"/>
          <w:b/>
          <w:bCs/>
        </w:rPr>
        <w:t xml:space="preserve">La politóloga y periodista analiza en Ciudad Real las consecuencias de una posible activación de los aranceles por parte de Estados Unidos y plantea </w:t>
      </w:r>
      <w:r>
        <w:rPr>
          <w:rFonts w:asciiTheme="minorHAnsi" w:hAnsiTheme="minorHAnsi" w:cstheme="minorHAnsi"/>
          <w:b/>
          <w:bCs/>
        </w:rPr>
        <w:t>herramientas</w:t>
      </w:r>
      <w:r w:rsidRPr="002C7523">
        <w:rPr>
          <w:rFonts w:asciiTheme="minorHAnsi" w:hAnsiTheme="minorHAnsi" w:cstheme="minorHAnsi"/>
          <w:b/>
          <w:bCs/>
        </w:rPr>
        <w:t xml:space="preserve"> para </w:t>
      </w:r>
      <w:r>
        <w:rPr>
          <w:rFonts w:asciiTheme="minorHAnsi" w:hAnsiTheme="minorHAnsi" w:cstheme="minorHAnsi"/>
          <w:b/>
          <w:bCs/>
        </w:rPr>
        <w:t>reaccionar</w:t>
      </w:r>
    </w:p>
    <w:p w14:paraId="7A0009CF" w14:textId="7472BD21" w:rsidR="008D671E" w:rsidRPr="008D671E" w:rsidRDefault="0020235A" w:rsidP="008D671E">
      <w:pPr>
        <w:spacing w:before="100" w:beforeAutospacing="1" w:after="100" w:afterAutospacing="1"/>
        <w:jc w:val="both"/>
        <w:rPr>
          <w:rFonts w:asciiTheme="minorHAnsi" w:hAnsiTheme="minorHAnsi" w:cstheme="minorHAnsi"/>
          <w:sz w:val="20"/>
          <w:szCs w:val="20"/>
        </w:rPr>
      </w:pPr>
      <w:r w:rsidRPr="00791D33">
        <w:rPr>
          <w:rFonts w:asciiTheme="minorHAnsi" w:hAnsiTheme="minorHAnsi" w:cstheme="minorHAnsi"/>
          <w:b/>
          <w:bCs/>
        </w:rPr>
        <w:t xml:space="preserve">Ciudad Real, </w:t>
      </w:r>
      <w:r w:rsidR="00BB20D0">
        <w:rPr>
          <w:rFonts w:asciiTheme="minorHAnsi" w:hAnsiTheme="minorHAnsi" w:cstheme="minorHAnsi"/>
          <w:b/>
          <w:bCs/>
        </w:rPr>
        <w:t>8</w:t>
      </w:r>
      <w:r w:rsidR="000C5ED9">
        <w:rPr>
          <w:rFonts w:asciiTheme="minorHAnsi" w:hAnsiTheme="minorHAnsi" w:cstheme="minorHAnsi"/>
          <w:b/>
          <w:bCs/>
        </w:rPr>
        <w:t>-</w:t>
      </w:r>
      <w:r w:rsidR="00BB20D0">
        <w:rPr>
          <w:rFonts w:asciiTheme="minorHAnsi" w:hAnsiTheme="minorHAnsi" w:cstheme="minorHAnsi"/>
          <w:b/>
          <w:bCs/>
        </w:rPr>
        <w:t>5</w:t>
      </w:r>
      <w:r w:rsidRPr="00791D33">
        <w:rPr>
          <w:rFonts w:asciiTheme="minorHAnsi" w:hAnsiTheme="minorHAnsi" w:cstheme="minorHAnsi"/>
          <w:b/>
          <w:bCs/>
        </w:rPr>
        <w:t>-2025.-</w:t>
      </w:r>
      <w:r w:rsidRPr="00F15E03">
        <w:rPr>
          <w:rFonts w:asciiTheme="minorHAnsi" w:hAnsiTheme="minorHAnsi" w:cstheme="minorHAnsi"/>
          <w:b/>
          <w:bCs/>
        </w:rPr>
        <w:t xml:space="preserve"> </w:t>
      </w:r>
      <w:r w:rsidR="008D671E" w:rsidRPr="008D671E">
        <w:rPr>
          <w:rFonts w:asciiTheme="minorHAnsi" w:hAnsiTheme="minorHAnsi" w:cstheme="minorHAnsi"/>
        </w:rPr>
        <w:t>La politóloga y periodista Estefanía Molina ha participado por primera vez en FENAVIN, la Feria Nacional del Vino que se celebra entre el 6 y el 8 de mayo en Ciudad Real,</w:t>
      </w:r>
      <w:r w:rsidR="008D671E">
        <w:rPr>
          <w:rFonts w:asciiTheme="minorHAnsi" w:hAnsiTheme="minorHAnsi" w:cstheme="minorHAnsi"/>
        </w:rPr>
        <w:t xml:space="preserve"> </w:t>
      </w:r>
      <w:r w:rsidR="008D671E" w:rsidRPr="008D671E">
        <w:rPr>
          <w:rFonts w:asciiTheme="minorHAnsi" w:hAnsiTheme="minorHAnsi" w:cstheme="minorHAnsi"/>
        </w:rPr>
        <w:t xml:space="preserve">donde hoy ha ofrecido una conferencia titulada </w:t>
      </w:r>
      <w:r w:rsidR="008D671E" w:rsidRPr="008D671E">
        <w:rPr>
          <w:rFonts w:asciiTheme="minorHAnsi" w:hAnsiTheme="minorHAnsi" w:cstheme="minorHAnsi"/>
          <w:i/>
          <w:iCs/>
        </w:rPr>
        <w:t>El vino español ante los aranceles de Trump: retos y amenazas</w:t>
      </w:r>
      <w:r w:rsidR="008D671E" w:rsidRPr="008D671E">
        <w:rPr>
          <w:rFonts w:asciiTheme="minorHAnsi" w:hAnsiTheme="minorHAnsi" w:cstheme="minorHAnsi"/>
        </w:rPr>
        <w:t xml:space="preserve">, </w:t>
      </w:r>
      <w:r w:rsidR="008D671E">
        <w:rPr>
          <w:rFonts w:asciiTheme="minorHAnsi" w:hAnsiTheme="minorHAnsi" w:cstheme="minorHAnsi"/>
        </w:rPr>
        <w:t xml:space="preserve">una ponencia en la que </w:t>
      </w:r>
      <w:r w:rsidR="008D671E" w:rsidRPr="008D671E">
        <w:rPr>
          <w:rFonts w:asciiTheme="minorHAnsi" w:hAnsiTheme="minorHAnsi" w:cstheme="minorHAnsi"/>
        </w:rPr>
        <w:t>ha abordado las implicaciones geopolíticas y comerciales que podrían derivarse de una nueva imposición de aranceles estadounidenses al vino español.</w:t>
      </w:r>
    </w:p>
    <w:p w14:paraId="1728D8E5" w14:textId="20941122" w:rsidR="00120B6B" w:rsidRPr="00120B6B" w:rsidRDefault="00120B6B" w:rsidP="00120B6B">
      <w:pPr>
        <w:tabs>
          <w:tab w:val="left" w:pos="7950"/>
        </w:tabs>
        <w:jc w:val="both"/>
        <w:rPr>
          <w:rFonts w:asciiTheme="minorHAnsi" w:hAnsiTheme="minorHAnsi" w:cstheme="minorHAnsi"/>
        </w:rPr>
      </w:pPr>
      <w:r>
        <w:rPr>
          <w:rFonts w:asciiTheme="minorHAnsi" w:hAnsiTheme="minorHAnsi" w:cstheme="minorHAnsi"/>
        </w:rPr>
        <w:t>La</w:t>
      </w:r>
      <w:r w:rsidRPr="00120B6B">
        <w:rPr>
          <w:rFonts w:asciiTheme="minorHAnsi" w:hAnsiTheme="minorHAnsi" w:cstheme="minorHAnsi"/>
        </w:rPr>
        <w:t xml:space="preserve"> analista ha centrado su exposición en el precedente ocurrido entre los años 2019 y 2021, cuando se impusieron aranceles al vino español, y en cómo las bodegas afrontaron aquella situación mediante la búsqueda de nuevos mercados y estrategias de adaptación. Según ha indicado, dicho episodio puede servir como referencia en caso de que el sector vuelva a enfrentarse a un escenario similar, proporcionando a productores y distribuidores herramientas útiles para reaccionar con agilidad. Asimismo, ha subrayado la importancia de identificar nuevos mercados dentro de Europa</w:t>
      </w:r>
      <w:r>
        <w:rPr>
          <w:rFonts w:asciiTheme="minorHAnsi" w:hAnsiTheme="minorHAnsi" w:cstheme="minorHAnsi"/>
        </w:rPr>
        <w:t xml:space="preserve"> </w:t>
      </w:r>
      <w:r w:rsidRPr="00120B6B">
        <w:rPr>
          <w:rFonts w:asciiTheme="minorHAnsi" w:hAnsiTheme="minorHAnsi" w:cstheme="minorHAnsi"/>
        </w:rPr>
        <w:t>y explorar formas alternativas de comercialización que puedan resultar beneficiosas para el sector vitivinícola.</w:t>
      </w:r>
    </w:p>
    <w:p w14:paraId="09FD092C" w14:textId="77777777" w:rsidR="008D671E" w:rsidRPr="008D671E" w:rsidRDefault="008D671E" w:rsidP="008D671E">
      <w:pPr>
        <w:tabs>
          <w:tab w:val="left" w:pos="7950"/>
        </w:tabs>
        <w:jc w:val="both"/>
        <w:rPr>
          <w:rFonts w:asciiTheme="minorHAnsi" w:hAnsiTheme="minorHAnsi" w:cstheme="minorHAnsi"/>
        </w:rPr>
      </w:pPr>
    </w:p>
    <w:p w14:paraId="4B5591F5" w14:textId="165A8E6D" w:rsidR="008D671E" w:rsidRPr="008D671E" w:rsidRDefault="00120B6B" w:rsidP="008D671E">
      <w:pPr>
        <w:tabs>
          <w:tab w:val="left" w:pos="7950"/>
        </w:tabs>
        <w:jc w:val="both"/>
        <w:rPr>
          <w:rFonts w:asciiTheme="minorHAnsi" w:hAnsiTheme="minorHAnsi" w:cstheme="minorHAnsi"/>
        </w:rPr>
      </w:pPr>
      <w:r>
        <w:rPr>
          <w:rFonts w:asciiTheme="minorHAnsi" w:hAnsiTheme="minorHAnsi" w:cstheme="minorHAnsi"/>
        </w:rPr>
        <w:t xml:space="preserve">En este sentido, </w:t>
      </w:r>
      <w:r w:rsidR="008D671E" w:rsidRPr="008D671E">
        <w:rPr>
          <w:rFonts w:asciiTheme="minorHAnsi" w:hAnsiTheme="minorHAnsi" w:cstheme="minorHAnsi"/>
        </w:rPr>
        <w:t>ha destacado la distribución digital como una alternativa estratégica para minimizar costes logísticos y acceder directamente al consumidor: “Todo lo que sea inversión para que sea el propio usuario el que se compre sus productos a través de internet ayuda a abaratar los costes de transporte”. En esa línea, también ha apuntado la importancia de explorar mercados emergentes en Europa, como los Balcanes, donde el vino español aún tiene escasa penetración.</w:t>
      </w:r>
    </w:p>
    <w:p w14:paraId="2CCD4DF4" w14:textId="77777777" w:rsidR="008D671E" w:rsidRPr="008D671E" w:rsidRDefault="008D671E" w:rsidP="008D671E">
      <w:pPr>
        <w:tabs>
          <w:tab w:val="left" w:pos="7950"/>
        </w:tabs>
        <w:jc w:val="both"/>
        <w:rPr>
          <w:rFonts w:asciiTheme="minorHAnsi" w:hAnsiTheme="minorHAnsi" w:cstheme="minorHAnsi"/>
        </w:rPr>
      </w:pPr>
    </w:p>
    <w:p w14:paraId="3B678DA6" w14:textId="016753C2" w:rsidR="00120B6B" w:rsidRPr="00120B6B" w:rsidRDefault="00120B6B" w:rsidP="00120B6B">
      <w:pPr>
        <w:tabs>
          <w:tab w:val="left" w:pos="7950"/>
        </w:tabs>
        <w:jc w:val="both"/>
        <w:rPr>
          <w:rFonts w:asciiTheme="minorHAnsi" w:hAnsiTheme="minorHAnsi" w:cstheme="minorHAnsi"/>
        </w:rPr>
      </w:pPr>
      <w:r w:rsidRPr="00120B6B">
        <w:rPr>
          <w:rFonts w:asciiTheme="minorHAnsi" w:hAnsiTheme="minorHAnsi" w:cstheme="minorHAnsi"/>
        </w:rPr>
        <w:t xml:space="preserve">En el plano político, Molina ha advertido </w:t>
      </w:r>
      <w:r>
        <w:rPr>
          <w:rFonts w:asciiTheme="minorHAnsi" w:hAnsiTheme="minorHAnsi" w:cstheme="minorHAnsi"/>
        </w:rPr>
        <w:t xml:space="preserve">de </w:t>
      </w:r>
      <w:r w:rsidRPr="00120B6B">
        <w:rPr>
          <w:rFonts w:asciiTheme="minorHAnsi" w:hAnsiTheme="minorHAnsi" w:cstheme="minorHAnsi"/>
        </w:rPr>
        <w:t>que Donald Trump ha utilizado históricamente los aranceles como un instrumento de presión para lograr fines ajenos al comercio. “Trump utiliza los aranceles para intentar negociar políticamente. Ahora mismo estamos en una especie de limbo en el que la Unión Europea está viendo qué</w:t>
      </w:r>
      <w:r>
        <w:rPr>
          <w:rFonts w:asciiTheme="minorHAnsi" w:hAnsiTheme="minorHAnsi" w:cstheme="minorHAnsi"/>
        </w:rPr>
        <w:t xml:space="preserve"> y cómo</w:t>
      </w:r>
      <w:r w:rsidRPr="00120B6B">
        <w:rPr>
          <w:rFonts w:asciiTheme="minorHAnsi" w:hAnsiTheme="minorHAnsi" w:cstheme="minorHAnsi"/>
        </w:rPr>
        <w:t xml:space="preserve"> puede pactar con EEUU”. Según ha explicado, no se trata de decisiones cerradas, sino de estrategias con margen para el trueque diplomático</w:t>
      </w:r>
      <w:r>
        <w:rPr>
          <w:rFonts w:asciiTheme="minorHAnsi" w:hAnsiTheme="minorHAnsi" w:cstheme="minorHAnsi"/>
        </w:rPr>
        <w:t>, pero que representan un riesgo real.</w:t>
      </w:r>
    </w:p>
    <w:p w14:paraId="0EB1EC07" w14:textId="77777777" w:rsidR="00120B6B" w:rsidRPr="00120B6B" w:rsidRDefault="00120B6B" w:rsidP="00120B6B">
      <w:pPr>
        <w:tabs>
          <w:tab w:val="left" w:pos="7950"/>
        </w:tabs>
        <w:jc w:val="both"/>
        <w:rPr>
          <w:rFonts w:asciiTheme="minorHAnsi" w:hAnsiTheme="minorHAnsi" w:cstheme="minorHAnsi"/>
        </w:rPr>
      </w:pPr>
    </w:p>
    <w:p w14:paraId="3FDA9461" w14:textId="7AA18012" w:rsidR="008D671E" w:rsidRPr="008D671E" w:rsidRDefault="00120B6B" w:rsidP="00120B6B">
      <w:pPr>
        <w:tabs>
          <w:tab w:val="left" w:pos="7950"/>
        </w:tabs>
        <w:jc w:val="both"/>
        <w:rPr>
          <w:rFonts w:asciiTheme="minorHAnsi" w:hAnsiTheme="minorHAnsi" w:cstheme="minorHAnsi"/>
        </w:rPr>
      </w:pPr>
      <w:r w:rsidRPr="00120B6B">
        <w:rPr>
          <w:rFonts w:asciiTheme="minorHAnsi" w:hAnsiTheme="minorHAnsi" w:cstheme="minorHAnsi"/>
        </w:rPr>
        <w:t>Molina ha concluido su intervención recordando que existen mecanismos multilaterales</w:t>
      </w:r>
      <w:r w:rsidR="000733D8">
        <w:rPr>
          <w:rFonts w:asciiTheme="minorHAnsi" w:hAnsiTheme="minorHAnsi" w:cstheme="minorHAnsi"/>
        </w:rPr>
        <w:t xml:space="preserve"> como la OMC</w:t>
      </w:r>
      <w:r w:rsidRPr="00120B6B">
        <w:rPr>
          <w:rFonts w:asciiTheme="minorHAnsi" w:hAnsiTheme="minorHAnsi" w:cstheme="minorHAnsi"/>
        </w:rPr>
        <w:t xml:space="preserve"> para resolver disputas comerciales, pero que Trump prefiere la política del espectáculo: “Busca a menudo el titular, el anuncio a bombo y platillo </w:t>
      </w:r>
      <w:r>
        <w:rPr>
          <w:rFonts w:asciiTheme="minorHAnsi" w:hAnsiTheme="minorHAnsi" w:cstheme="minorHAnsi"/>
        </w:rPr>
        <w:t xml:space="preserve">en su </w:t>
      </w:r>
      <w:r w:rsidR="00EA278A">
        <w:rPr>
          <w:rFonts w:asciiTheme="minorHAnsi" w:hAnsiTheme="minorHAnsi" w:cstheme="minorHAnsi"/>
        </w:rPr>
        <w:t>objetivo</w:t>
      </w:r>
      <w:r>
        <w:rPr>
          <w:rFonts w:asciiTheme="minorHAnsi" w:hAnsiTheme="minorHAnsi" w:cstheme="minorHAnsi"/>
        </w:rPr>
        <w:t xml:space="preserve"> de</w:t>
      </w:r>
      <w:r w:rsidRPr="00120B6B">
        <w:rPr>
          <w:rFonts w:asciiTheme="minorHAnsi" w:hAnsiTheme="minorHAnsi" w:cstheme="minorHAnsi"/>
        </w:rPr>
        <w:t xml:space="preserve"> hacer América grande otra vez, dejando de lado los cauces tradicionales de consenso”.</w:t>
      </w:r>
    </w:p>
    <w:p w14:paraId="197C3E81" w14:textId="718BF792" w:rsidR="00DC57FA" w:rsidRPr="00E1112F" w:rsidRDefault="00DC57FA" w:rsidP="008D671E">
      <w:pPr>
        <w:tabs>
          <w:tab w:val="left" w:pos="7950"/>
        </w:tabs>
        <w:rPr>
          <w:rFonts w:asciiTheme="minorHAnsi" w:hAnsiTheme="minorHAnsi" w:cstheme="minorHAnsi"/>
          <w:sz w:val="20"/>
          <w:szCs w:val="20"/>
        </w:rPr>
      </w:pPr>
    </w:p>
    <w:sectPr w:rsidR="00DC57FA" w:rsidRPr="00E1112F" w:rsidSect="00DC57FA">
      <w:headerReference w:type="even" r:id="rId7"/>
      <w:headerReference w:type="default" r:id="rId8"/>
      <w:footerReference w:type="even" r:id="rId9"/>
      <w:footerReference w:type="default" r:id="rId10"/>
      <w:headerReference w:type="first" r:id="rId11"/>
      <w:footerReference w:type="first" r:id="rId12"/>
      <w:pgSz w:w="11906" w:h="16838"/>
      <w:pgMar w:top="2127" w:right="1133" w:bottom="1843"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C508A" w14:textId="77777777" w:rsidR="002D6D6E" w:rsidRDefault="002D6D6E">
      <w:r>
        <w:separator/>
      </w:r>
    </w:p>
  </w:endnote>
  <w:endnote w:type="continuationSeparator" w:id="0">
    <w:p w14:paraId="1179437C" w14:textId="77777777" w:rsidR="002D6D6E" w:rsidRDefault="002D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A1B6" w14:textId="77777777" w:rsidR="00165C27" w:rsidRDefault="00165C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087" w14:textId="0B2EA3C1" w:rsidR="00850E86" w:rsidRDefault="00DC57FA">
    <w:pPr>
      <w:pStyle w:val="Piedepgina"/>
      <w:tabs>
        <w:tab w:val="left" w:pos="1050"/>
      </w:tabs>
      <w:ind w:left="-1260"/>
    </w:pPr>
    <w:r>
      <w:rPr>
        <w:noProof/>
        <w:lang w:eastAsia="es-ES"/>
      </w:rPr>
      <w:drawing>
        <wp:anchor distT="0" distB="0" distL="114300" distR="114300" simplePos="0" relativeHeight="251658240" behindDoc="0" locked="0" layoutInCell="1" allowOverlap="1" wp14:anchorId="3216D956" wp14:editId="7A63C0A8">
          <wp:simplePos x="0" y="0"/>
          <wp:positionH relativeFrom="column">
            <wp:posOffset>3856990</wp:posOffset>
          </wp:positionH>
          <wp:positionV relativeFrom="paragraph">
            <wp:posOffset>-112395</wp:posOffset>
          </wp:positionV>
          <wp:extent cx="2400300" cy="590550"/>
          <wp:effectExtent l="0" t="0" r="0" b="0"/>
          <wp:wrapSquare wrapText="bothSides"/>
          <wp:docPr id="11920820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935" distR="114935" simplePos="0" relativeHeight="251657216" behindDoc="1" locked="0" layoutInCell="1" allowOverlap="1" wp14:anchorId="319C8425" wp14:editId="67A1BDFB">
          <wp:simplePos x="0" y="0"/>
          <wp:positionH relativeFrom="column">
            <wp:posOffset>-981710</wp:posOffset>
          </wp:positionH>
          <wp:positionV relativeFrom="paragraph">
            <wp:posOffset>-346075</wp:posOffset>
          </wp:positionV>
          <wp:extent cx="7560000" cy="1051200"/>
          <wp:effectExtent l="0" t="0" r="3175" b="0"/>
          <wp:wrapSquare wrapText="bothSides"/>
          <wp:docPr id="14764482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051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50E8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F15C" w14:textId="77777777" w:rsidR="00165C27" w:rsidRDefault="00165C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C8DB9" w14:textId="77777777" w:rsidR="002D6D6E" w:rsidRDefault="002D6D6E">
      <w:r>
        <w:separator/>
      </w:r>
    </w:p>
  </w:footnote>
  <w:footnote w:type="continuationSeparator" w:id="0">
    <w:p w14:paraId="4E2A3EB0" w14:textId="77777777" w:rsidR="002D6D6E" w:rsidRDefault="002D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14D0" w14:textId="77777777" w:rsidR="00165C27" w:rsidRDefault="00165C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6C54" w14:textId="33CAF09F" w:rsidR="00850E86" w:rsidRDefault="009C6AF5">
    <w:pPr>
      <w:pStyle w:val="Encabezado"/>
      <w:ind w:left="-1260"/>
    </w:pPr>
    <w:r>
      <w:rPr>
        <w:noProof/>
        <w:lang w:eastAsia="es-ES"/>
      </w:rPr>
      <w:drawing>
        <wp:inline distT="0" distB="0" distL="0" distR="0" wp14:anchorId="5623AFA9" wp14:editId="1D251CB4">
          <wp:extent cx="3019425" cy="1352550"/>
          <wp:effectExtent l="0" t="0" r="0" b="0"/>
          <wp:docPr id="787679284" name="Imagen 78767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1352550"/>
                  </a:xfrm>
                  <a:prstGeom prst="rect">
                    <a:avLst/>
                  </a:prstGeom>
                  <a:solidFill>
                    <a:srgbClr val="FFFFFF">
                      <a:alpha val="0"/>
                    </a:srgbClr>
                  </a:solidFill>
                  <a:ln>
                    <a:noFill/>
                  </a:ln>
                </pic:spPr>
              </pic:pic>
            </a:graphicData>
          </a:graphic>
        </wp:inline>
      </w:drawing>
    </w:r>
  </w:p>
  <w:p w14:paraId="3C5DD09F" w14:textId="77777777" w:rsidR="00850E86" w:rsidRDefault="00850E8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B524" w14:textId="77777777" w:rsidR="00165C27" w:rsidRDefault="00165C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 w15:restartNumberingAfterBreak="0">
    <w:nsid w:val="07D11731"/>
    <w:multiLevelType w:val="hybridMultilevel"/>
    <w:tmpl w:val="AE240C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EB4BAE"/>
    <w:multiLevelType w:val="hybridMultilevel"/>
    <w:tmpl w:val="39D03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22063D"/>
    <w:multiLevelType w:val="hybridMultilevel"/>
    <w:tmpl w:val="E13200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8D7CB9"/>
    <w:multiLevelType w:val="hybridMultilevel"/>
    <w:tmpl w:val="47EEDB9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D153330"/>
    <w:multiLevelType w:val="hybridMultilevel"/>
    <w:tmpl w:val="DB5E3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9031D5"/>
    <w:multiLevelType w:val="hybridMultilevel"/>
    <w:tmpl w:val="5DD2BA2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522D41CB"/>
    <w:multiLevelType w:val="hybridMultilevel"/>
    <w:tmpl w:val="9EB4F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05E2413"/>
    <w:multiLevelType w:val="hybridMultilevel"/>
    <w:tmpl w:val="42C8666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F0D70F9"/>
    <w:multiLevelType w:val="hybridMultilevel"/>
    <w:tmpl w:val="9CF03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13252750">
    <w:abstractNumId w:val="0"/>
  </w:num>
  <w:num w:numId="2" w16cid:durableId="230238825">
    <w:abstractNumId w:val="1"/>
  </w:num>
  <w:num w:numId="3" w16cid:durableId="415131986">
    <w:abstractNumId w:val="6"/>
  </w:num>
  <w:num w:numId="4" w16cid:durableId="1309171060">
    <w:abstractNumId w:val="4"/>
  </w:num>
  <w:num w:numId="5" w16cid:durableId="1902861790">
    <w:abstractNumId w:val="9"/>
  </w:num>
  <w:num w:numId="6" w16cid:durableId="576785383">
    <w:abstractNumId w:val="2"/>
  </w:num>
  <w:num w:numId="7" w16cid:durableId="1323391518">
    <w:abstractNumId w:val="7"/>
  </w:num>
  <w:num w:numId="8" w16cid:durableId="2137945263">
    <w:abstractNumId w:val="5"/>
  </w:num>
  <w:num w:numId="9" w16cid:durableId="1494374907">
    <w:abstractNumId w:val="8"/>
  </w:num>
  <w:num w:numId="10" w16cid:durableId="1089738387">
    <w:abstractNumId w:val="10"/>
  </w:num>
  <w:num w:numId="11" w16cid:durableId="320502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283"/>
    <w:rsid w:val="00014BDF"/>
    <w:rsid w:val="00020578"/>
    <w:rsid w:val="00036358"/>
    <w:rsid w:val="00065814"/>
    <w:rsid w:val="0006597F"/>
    <w:rsid w:val="000733D8"/>
    <w:rsid w:val="00084BE7"/>
    <w:rsid w:val="00086A13"/>
    <w:rsid w:val="00091B3B"/>
    <w:rsid w:val="000A176F"/>
    <w:rsid w:val="000B6D7E"/>
    <w:rsid w:val="000C5ED9"/>
    <w:rsid w:val="000C6E05"/>
    <w:rsid w:val="000D38B7"/>
    <w:rsid w:val="001203D4"/>
    <w:rsid w:val="00120B6B"/>
    <w:rsid w:val="00137D9C"/>
    <w:rsid w:val="00157ED4"/>
    <w:rsid w:val="00160BA3"/>
    <w:rsid w:val="001654AF"/>
    <w:rsid w:val="00165C27"/>
    <w:rsid w:val="00185809"/>
    <w:rsid w:val="001923FD"/>
    <w:rsid w:val="001A1B15"/>
    <w:rsid w:val="001A6F12"/>
    <w:rsid w:val="001B6928"/>
    <w:rsid w:val="001E7D2A"/>
    <w:rsid w:val="001F1366"/>
    <w:rsid w:val="0020235A"/>
    <w:rsid w:val="002059CA"/>
    <w:rsid w:val="00215116"/>
    <w:rsid w:val="00232400"/>
    <w:rsid w:val="00266434"/>
    <w:rsid w:val="00276550"/>
    <w:rsid w:val="002926C6"/>
    <w:rsid w:val="0029472E"/>
    <w:rsid w:val="002A2C1B"/>
    <w:rsid w:val="002B3E5F"/>
    <w:rsid w:val="002B496F"/>
    <w:rsid w:val="002C7523"/>
    <w:rsid w:val="002D6D6E"/>
    <w:rsid w:val="002F38F2"/>
    <w:rsid w:val="00307086"/>
    <w:rsid w:val="00386E68"/>
    <w:rsid w:val="003B23EB"/>
    <w:rsid w:val="003C1789"/>
    <w:rsid w:val="00402D40"/>
    <w:rsid w:val="00445DC5"/>
    <w:rsid w:val="00463B16"/>
    <w:rsid w:val="004907F0"/>
    <w:rsid w:val="004A4ED8"/>
    <w:rsid w:val="004E29A8"/>
    <w:rsid w:val="004F0F62"/>
    <w:rsid w:val="004F2CAE"/>
    <w:rsid w:val="00522BD4"/>
    <w:rsid w:val="00547E98"/>
    <w:rsid w:val="00557085"/>
    <w:rsid w:val="005834B9"/>
    <w:rsid w:val="00584CC2"/>
    <w:rsid w:val="00592078"/>
    <w:rsid w:val="005B1E0C"/>
    <w:rsid w:val="005D103C"/>
    <w:rsid w:val="005F355D"/>
    <w:rsid w:val="00610B68"/>
    <w:rsid w:val="00613A87"/>
    <w:rsid w:val="00616A8A"/>
    <w:rsid w:val="006406F6"/>
    <w:rsid w:val="00643CCD"/>
    <w:rsid w:val="00646895"/>
    <w:rsid w:val="00656E65"/>
    <w:rsid w:val="00671496"/>
    <w:rsid w:val="00695B7E"/>
    <w:rsid w:val="006A0D13"/>
    <w:rsid w:val="006D4A35"/>
    <w:rsid w:val="006D5195"/>
    <w:rsid w:val="006F2257"/>
    <w:rsid w:val="0072029C"/>
    <w:rsid w:val="007545E1"/>
    <w:rsid w:val="00764B7C"/>
    <w:rsid w:val="00781CAE"/>
    <w:rsid w:val="00791D33"/>
    <w:rsid w:val="00797C54"/>
    <w:rsid w:val="007B20AE"/>
    <w:rsid w:val="007B684C"/>
    <w:rsid w:val="007E177C"/>
    <w:rsid w:val="007F453A"/>
    <w:rsid w:val="00823DF8"/>
    <w:rsid w:val="008258B2"/>
    <w:rsid w:val="00850E86"/>
    <w:rsid w:val="008D671E"/>
    <w:rsid w:val="00923283"/>
    <w:rsid w:val="00925941"/>
    <w:rsid w:val="00934E35"/>
    <w:rsid w:val="009377D2"/>
    <w:rsid w:val="00985D4A"/>
    <w:rsid w:val="00993431"/>
    <w:rsid w:val="009A7D2D"/>
    <w:rsid w:val="009B7330"/>
    <w:rsid w:val="009C6AF5"/>
    <w:rsid w:val="009D207B"/>
    <w:rsid w:val="009D2221"/>
    <w:rsid w:val="009F71CD"/>
    <w:rsid w:val="00A2386F"/>
    <w:rsid w:val="00A316A5"/>
    <w:rsid w:val="00A4388D"/>
    <w:rsid w:val="00A479BA"/>
    <w:rsid w:val="00A61119"/>
    <w:rsid w:val="00A61268"/>
    <w:rsid w:val="00A8691A"/>
    <w:rsid w:val="00A96B52"/>
    <w:rsid w:val="00AC7AAC"/>
    <w:rsid w:val="00AD241B"/>
    <w:rsid w:val="00AD5381"/>
    <w:rsid w:val="00AE7257"/>
    <w:rsid w:val="00AF327D"/>
    <w:rsid w:val="00B2015E"/>
    <w:rsid w:val="00B77378"/>
    <w:rsid w:val="00B77E5A"/>
    <w:rsid w:val="00BA0EBB"/>
    <w:rsid w:val="00BB20D0"/>
    <w:rsid w:val="00BB45CD"/>
    <w:rsid w:val="00BB6065"/>
    <w:rsid w:val="00BD007F"/>
    <w:rsid w:val="00BD0DAA"/>
    <w:rsid w:val="00BD2EDB"/>
    <w:rsid w:val="00C00AAE"/>
    <w:rsid w:val="00C359DE"/>
    <w:rsid w:val="00C44344"/>
    <w:rsid w:val="00C56A37"/>
    <w:rsid w:val="00C70684"/>
    <w:rsid w:val="00C74AB3"/>
    <w:rsid w:val="00C962EB"/>
    <w:rsid w:val="00CE05B9"/>
    <w:rsid w:val="00CE2E13"/>
    <w:rsid w:val="00CE317E"/>
    <w:rsid w:val="00CE696C"/>
    <w:rsid w:val="00D16027"/>
    <w:rsid w:val="00D2768E"/>
    <w:rsid w:val="00D61D3E"/>
    <w:rsid w:val="00D6246D"/>
    <w:rsid w:val="00D76558"/>
    <w:rsid w:val="00D776DE"/>
    <w:rsid w:val="00D81A59"/>
    <w:rsid w:val="00D8579E"/>
    <w:rsid w:val="00D85BB9"/>
    <w:rsid w:val="00DC28D0"/>
    <w:rsid w:val="00DC57FA"/>
    <w:rsid w:val="00E04092"/>
    <w:rsid w:val="00E074A2"/>
    <w:rsid w:val="00E1112F"/>
    <w:rsid w:val="00E16ACE"/>
    <w:rsid w:val="00E3065D"/>
    <w:rsid w:val="00E30A6A"/>
    <w:rsid w:val="00E55983"/>
    <w:rsid w:val="00E607E1"/>
    <w:rsid w:val="00E64A58"/>
    <w:rsid w:val="00E64D80"/>
    <w:rsid w:val="00E7000C"/>
    <w:rsid w:val="00E731CE"/>
    <w:rsid w:val="00E961C1"/>
    <w:rsid w:val="00EA278A"/>
    <w:rsid w:val="00EB5848"/>
    <w:rsid w:val="00F020F7"/>
    <w:rsid w:val="00F15E03"/>
    <w:rsid w:val="00F42DE0"/>
    <w:rsid w:val="00F47969"/>
    <w:rsid w:val="00F754F7"/>
    <w:rsid w:val="00F814C1"/>
    <w:rsid w:val="00FA0F1A"/>
    <w:rsid w:val="00FA2B97"/>
    <w:rsid w:val="00FA6CCA"/>
    <w:rsid w:val="00FC305E"/>
    <w:rsid w:val="00FD6F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1ED0B3"/>
  <w15:chartTrackingRefBased/>
  <w15:docId w15:val="{3EDBAB42-8A94-42BC-B546-5D0A277A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34"/>
    <w:rPr>
      <w:sz w:val="24"/>
      <w:szCs w:val="24"/>
      <w:lang w:eastAsia="es-ES_tradnl"/>
    </w:rPr>
  </w:style>
  <w:style w:type="paragraph" w:styleId="Ttulo1">
    <w:name w:val="heading 1"/>
    <w:basedOn w:val="Normal"/>
    <w:next w:val="Normal"/>
    <w:qFormat/>
    <w:pPr>
      <w:keepNext/>
      <w:numPr>
        <w:numId w:val="2"/>
      </w:numPr>
      <w:suppressAutoHyphens/>
      <w:spacing w:before="240" w:after="60"/>
      <w:outlineLvl w:val="0"/>
    </w:pPr>
    <w:rPr>
      <w:rFonts w:ascii="Cambria" w:hAnsi="Cambria" w:cs="Cambria"/>
      <w:b/>
      <w:bCs/>
      <w:kern w:val="1"/>
      <w:sz w:val="32"/>
      <w:szCs w:val="32"/>
      <w:lang w:eastAsia="zh-CN"/>
    </w:rPr>
  </w:style>
  <w:style w:type="paragraph" w:styleId="Ttulo2">
    <w:name w:val="heading 2"/>
    <w:basedOn w:val="Normal"/>
    <w:next w:val="Normal"/>
    <w:qFormat/>
    <w:pPr>
      <w:keepNext/>
      <w:numPr>
        <w:ilvl w:val="1"/>
        <w:numId w:val="2"/>
      </w:numPr>
      <w:suppressAutoHyphens/>
      <w:spacing w:before="240" w:after="60"/>
      <w:outlineLvl w:val="1"/>
    </w:pPr>
    <w:rPr>
      <w:rFonts w:ascii="Cambria" w:hAnsi="Cambria" w:cs="Cambria"/>
      <w:b/>
      <w:bCs/>
      <w:i/>
      <w:iCs/>
      <w:sz w:val="28"/>
      <w:szCs w:val="28"/>
      <w:lang w:eastAsia="zh-CN"/>
    </w:rPr>
  </w:style>
  <w:style w:type="paragraph" w:styleId="Ttulo3">
    <w:name w:val="heading 3"/>
    <w:basedOn w:val="Normal"/>
    <w:next w:val="Normal"/>
    <w:qFormat/>
    <w:pPr>
      <w:keepNext/>
      <w:numPr>
        <w:ilvl w:val="2"/>
        <w:numId w:val="2"/>
      </w:numPr>
      <w:suppressAutoHyphens/>
      <w:spacing w:before="240" w:after="60"/>
      <w:outlineLvl w:val="2"/>
    </w:pPr>
    <w:rPr>
      <w:rFonts w:ascii="Cambria" w:hAnsi="Cambria" w:cs="Cambria"/>
      <w:b/>
      <w:bCs/>
      <w:sz w:val="26"/>
      <w:szCs w:val="26"/>
      <w:lang w:eastAsia="zh-CN"/>
    </w:rPr>
  </w:style>
  <w:style w:type="paragraph" w:styleId="Ttulo4">
    <w:name w:val="heading 4"/>
    <w:basedOn w:val="Normal"/>
    <w:next w:val="Normal"/>
    <w:qFormat/>
    <w:pPr>
      <w:keepNext/>
      <w:numPr>
        <w:ilvl w:val="3"/>
        <w:numId w:val="2"/>
      </w:numPr>
      <w:suppressAutoHyphens/>
      <w:spacing w:before="240" w:after="60"/>
      <w:outlineLvl w:val="3"/>
    </w:pPr>
    <w:rPr>
      <w:rFonts w:ascii="Verdana" w:hAnsi="Verdana" w:cs="Verdana"/>
      <w:b/>
      <w:bCs/>
      <w:sz w:val="28"/>
      <w:szCs w:val="28"/>
      <w:lang w:eastAsia="zh-CN"/>
    </w:rPr>
  </w:style>
  <w:style w:type="paragraph" w:styleId="Ttulo5">
    <w:name w:val="heading 5"/>
    <w:basedOn w:val="Normal"/>
    <w:next w:val="Normal"/>
    <w:qFormat/>
    <w:pPr>
      <w:numPr>
        <w:ilvl w:val="4"/>
        <w:numId w:val="2"/>
      </w:numPr>
      <w:suppressAutoHyphens/>
      <w:spacing w:before="240" w:after="60"/>
      <w:outlineLvl w:val="4"/>
    </w:pPr>
    <w:rPr>
      <w:rFonts w:ascii="Verdana" w:hAnsi="Verdana" w:cs="Verdana"/>
      <w:b/>
      <w:bCs/>
      <w:i/>
      <w:iCs/>
      <w:sz w:val="26"/>
      <w:szCs w:val="26"/>
      <w:lang w:eastAsia="zh-CN"/>
    </w:rPr>
  </w:style>
  <w:style w:type="paragraph" w:styleId="Ttulo6">
    <w:name w:val="heading 6"/>
    <w:basedOn w:val="Normal"/>
    <w:next w:val="Normal"/>
    <w:qFormat/>
    <w:pPr>
      <w:numPr>
        <w:ilvl w:val="5"/>
        <w:numId w:val="2"/>
      </w:numPr>
      <w:suppressAutoHyphens/>
      <w:spacing w:before="240" w:after="60"/>
      <w:outlineLvl w:val="5"/>
    </w:pPr>
    <w:rPr>
      <w:rFonts w:ascii="Verdana" w:hAnsi="Verdana" w:cs="Verdana"/>
      <w:b/>
      <w:bCs/>
      <w:sz w:val="22"/>
      <w:szCs w:val="22"/>
      <w:lang w:eastAsia="zh-CN"/>
    </w:rPr>
  </w:style>
  <w:style w:type="paragraph" w:styleId="Ttulo7">
    <w:name w:val="heading 7"/>
    <w:basedOn w:val="Normal"/>
    <w:next w:val="Normal"/>
    <w:qFormat/>
    <w:pPr>
      <w:numPr>
        <w:ilvl w:val="6"/>
        <w:numId w:val="2"/>
      </w:numPr>
      <w:suppressAutoHyphens/>
      <w:spacing w:before="240" w:after="60"/>
      <w:outlineLvl w:val="6"/>
    </w:pPr>
    <w:rPr>
      <w:rFonts w:ascii="Verdana" w:hAnsi="Verdana" w:cs="Verdana"/>
      <w:b/>
      <w:sz w:val="16"/>
      <w:szCs w:val="16"/>
      <w:lang w:eastAsia="zh-CN"/>
    </w:rPr>
  </w:style>
  <w:style w:type="paragraph" w:styleId="Ttulo8">
    <w:name w:val="heading 8"/>
    <w:basedOn w:val="Normal"/>
    <w:next w:val="Normal"/>
    <w:qFormat/>
    <w:pPr>
      <w:numPr>
        <w:ilvl w:val="7"/>
        <w:numId w:val="2"/>
      </w:numPr>
      <w:suppressAutoHyphens/>
      <w:spacing w:before="240" w:after="60"/>
      <w:outlineLvl w:val="7"/>
    </w:pPr>
    <w:rPr>
      <w:rFonts w:ascii="Verdana" w:hAnsi="Verdana" w:cs="Verdana"/>
      <w:b/>
      <w:i/>
      <w:iCs/>
      <w:sz w:val="16"/>
      <w:szCs w:val="16"/>
      <w:lang w:eastAsia="zh-CN"/>
    </w:rPr>
  </w:style>
  <w:style w:type="paragraph" w:styleId="Ttulo9">
    <w:name w:val="heading 9"/>
    <w:basedOn w:val="Normal"/>
    <w:next w:val="Normal"/>
    <w:qFormat/>
    <w:pPr>
      <w:numPr>
        <w:ilvl w:val="8"/>
        <w:numId w:val="2"/>
      </w:numPr>
      <w:suppressAutoHyphens/>
      <w:spacing w:before="240" w:after="60"/>
      <w:outlineLvl w:val="8"/>
    </w:pPr>
    <w:rPr>
      <w:rFonts w:ascii="Cambria" w:hAnsi="Cambria" w:cs="Cambria"/>
      <w:b/>
      <w:sz w:val="22"/>
      <w:szCs w:val="22"/>
      <w:lang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eastAsia="Calibri"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1Car">
    <w:name w:val="Título 1 Car"/>
    <w:rPr>
      <w:rFonts w:ascii="Cambria" w:eastAsia="Times New Roman" w:hAnsi="Cambria" w:cs="Cambria"/>
      <w:b/>
      <w:bCs/>
      <w:kern w:val="1"/>
      <w:sz w:val="32"/>
      <w:szCs w:val="32"/>
    </w:rPr>
  </w:style>
  <w:style w:type="character" w:customStyle="1" w:styleId="Ttulo2Car">
    <w:name w:val="Título 2 Car"/>
    <w:rPr>
      <w:rFonts w:ascii="Cambria" w:eastAsia="Times New Roman" w:hAnsi="Cambria" w:cs="Cambria"/>
      <w:b/>
      <w:bCs/>
      <w:i/>
      <w:iCs/>
      <w:sz w:val="28"/>
      <w:szCs w:val="28"/>
    </w:rPr>
  </w:style>
  <w:style w:type="character" w:customStyle="1" w:styleId="Ttulo3Car">
    <w:name w:val="Título 3 Car"/>
    <w:rPr>
      <w:rFonts w:ascii="Cambria" w:eastAsia="Times New Roman" w:hAnsi="Cambria" w:cs="Cambria"/>
      <w:b/>
      <w:bCs/>
      <w:sz w:val="26"/>
      <w:szCs w:val="26"/>
    </w:rPr>
  </w:style>
  <w:style w:type="character" w:customStyle="1" w:styleId="Ttulo4Car">
    <w:name w:val="Título 4 Car"/>
    <w:rPr>
      <w:b/>
      <w:bCs/>
      <w:sz w:val="28"/>
      <w:szCs w:val="28"/>
    </w:rPr>
  </w:style>
  <w:style w:type="character" w:customStyle="1" w:styleId="Ttulo5Car">
    <w:name w:val="Título 5 Car"/>
    <w:rPr>
      <w:b/>
      <w:bCs/>
      <w:i/>
      <w:iCs/>
      <w:sz w:val="26"/>
      <w:szCs w:val="26"/>
    </w:rPr>
  </w:style>
  <w:style w:type="character" w:customStyle="1" w:styleId="Ttulo6Car">
    <w:name w:val="Título 6 Car"/>
    <w:rPr>
      <w:b/>
      <w:bCs/>
    </w:rPr>
  </w:style>
  <w:style w:type="character" w:customStyle="1" w:styleId="Ttulo7Car">
    <w:name w:val="Título 7 Car"/>
    <w:rPr>
      <w:sz w:val="24"/>
      <w:szCs w:val="24"/>
    </w:rPr>
  </w:style>
  <w:style w:type="character" w:customStyle="1" w:styleId="Ttulo8Car">
    <w:name w:val="Título 8 Car"/>
    <w:rPr>
      <w:i/>
      <w:iCs/>
      <w:sz w:val="24"/>
      <w:szCs w:val="24"/>
    </w:rPr>
  </w:style>
  <w:style w:type="character" w:customStyle="1" w:styleId="Ttulo9Car">
    <w:name w:val="Título 9 Car"/>
    <w:rPr>
      <w:rFonts w:ascii="Cambria" w:eastAsia="Times New Roman" w:hAnsi="Cambria" w:cs="Cambria"/>
    </w:rPr>
  </w:style>
  <w:style w:type="character" w:customStyle="1" w:styleId="TtuloCar">
    <w:name w:val="Título Car"/>
    <w:rPr>
      <w:rFonts w:ascii="Cambria" w:eastAsia="Times New Roman" w:hAnsi="Cambria" w:cs="Cambria"/>
      <w:b/>
      <w:bCs/>
      <w:kern w:val="1"/>
      <w:sz w:val="32"/>
      <w:szCs w:val="32"/>
    </w:rPr>
  </w:style>
  <w:style w:type="character" w:customStyle="1" w:styleId="SubttuloCar">
    <w:name w:val="Subtítulo Car"/>
    <w:rPr>
      <w:rFonts w:ascii="Cambria" w:eastAsia="Times New Roman" w:hAnsi="Cambria" w:cs="Cambria"/>
      <w:sz w:val="24"/>
      <w:szCs w:val="24"/>
    </w:rPr>
  </w:style>
  <w:style w:type="character" w:styleId="Textoennegrita">
    <w:name w:val="Strong"/>
    <w:uiPriority w:val="22"/>
    <w:qFormat/>
    <w:rPr>
      <w:b/>
      <w:bCs/>
    </w:rPr>
  </w:style>
  <w:style w:type="character" w:styleId="nfasis">
    <w:name w:val="Emphasis"/>
    <w:uiPriority w:val="20"/>
    <w:qFormat/>
    <w:rPr>
      <w:rFonts w:ascii="Calibri" w:hAnsi="Calibri" w:cs="Calibri"/>
      <w:b/>
      <w:i/>
      <w:iCs/>
    </w:rPr>
  </w:style>
  <w:style w:type="character" w:customStyle="1" w:styleId="CitaCar">
    <w:name w:val="Cita Car"/>
    <w:rPr>
      <w:i/>
      <w:sz w:val="24"/>
      <w:szCs w:val="24"/>
    </w:rPr>
  </w:style>
  <w:style w:type="character" w:customStyle="1" w:styleId="CitadestacadaCar">
    <w:name w:val="Cita destacada Car"/>
    <w:rPr>
      <w:b/>
      <w:i/>
      <w:sz w:val="24"/>
    </w:rPr>
  </w:style>
  <w:style w:type="character" w:styleId="nfasissutil">
    <w:name w:val="Subtle Emphasis"/>
    <w:qFormat/>
    <w:rPr>
      <w:i/>
      <w:color w:val="5A5A5A"/>
    </w:rPr>
  </w:style>
  <w:style w:type="character" w:styleId="nfasisintenso">
    <w:name w:val="Intense Emphasis"/>
    <w:qFormat/>
    <w:rPr>
      <w:b/>
      <w:i/>
      <w:sz w:val="24"/>
      <w:szCs w:val="24"/>
      <w:u w:val="single"/>
    </w:rPr>
  </w:style>
  <w:style w:type="character" w:styleId="Referenciasutil">
    <w:name w:val="Subtle Reference"/>
    <w:qFormat/>
    <w:rPr>
      <w:sz w:val="24"/>
      <w:szCs w:val="24"/>
      <w:u w:val="single"/>
    </w:rPr>
  </w:style>
  <w:style w:type="character" w:styleId="Referenciaintensa">
    <w:name w:val="Intense Reference"/>
    <w:qFormat/>
    <w:rPr>
      <w:b/>
      <w:sz w:val="24"/>
      <w:u w:val="single"/>
    </w:rPr>
  </w:style>
  <w:style w:type="character" w:styleId="Ttulodellibro">
    <w:name w:val="Book Title"/>
    <w:qFormat/>
    <w:rPr>
      <w:rFonts w:ascii="Cambria" w:eastAsia="Times New Roman" w:hAnsi="Cambria" w:cs="Cambria"/>
      <w:b/>
      <w:i/>
      <w:sz w:val="24"/>
      <w:szCs w:val="24"/>
    </w:rPr>
  </w:style>
  <w:style w:type="paragraph" w:customStyle="1" w:styleId="Encabezado1">
    <w:name w:val="Encabezado1"/>
    <w:basedOn w:val="Normal"/>
    <w:next w:val="Normal"/>
    <w:pPr>
      <w:suppressAutoHyphens/>
      <w:spacing w:before="240" w:after="60"/>
      <w:jc w:val="center"/>
    </w:pPr>
    <w:rPr>
      <w:rFonts w:ascii="Cambria" w:hAnsi="Cambria" w:cs="Cambria"/>
      <w:b/>
      <w:bCs/>
      <w:kern w:val="1"/>
      <w:sz w:val="32"/>
      <w:szCs w:val="32"/>
      <w:lang w:eastAsia="zh-CN"/>
    </w:rPr>
  </w:style>
  <w:style w:type="paragraph" w:styleId="Textoindependiente">
    <w:name w:val="Body Text"/>
    <w:basedOn w:val="Normal"/>
    <w:pPr>
      <w:suppressAutoHyphens/>
      <w:spacing w:after="140" w:line="288" w:lineRule="auto"/>
    </w:pPr>
    <w:rPr>
      <w:rFonts w:ascii="Verdana" w:hAnsi="Verdana" w:cs="Verdana"/>
      <w:b/>
      <w:sz w:val="16"/>
      <w:szCs w:val="16"/>
      <w:lang w:eastAsia="zh-CN"/>
    </w:rPr>
  </w:style>
  <w:style w:type="paragraph" w:styleId="Lista">
    <w:name w:val="List"/>
    <w:basedOn w:val="Textoindependiente"/>
    <w:rPr>
      <w:rFonts w:cs="Mangal"/>
    </w:rPr>
  </w:style>
  <w:style w:type="paragraph" w:customStyle="1" w:styleId="Epgrafe">
    <w:name w:val="Epígrafe"/>
    <w:basedOn w:val="Normal"/>
    <w:qFormat/>
    <w:pPr>
      <w:suppressLineNumbers/>
      <w:suppressAutoHyphens/>
      <w:spacing w:before="120" w:after="120"/>
    </w:pPr>
    <w:rPr>
      <w:rFonts w:ascii="Verdana" w:hAnsi="Verdana" w:cs="Mangal"/>
      <w:b/>
      <w:i/>
      <w:iCs/>
      <w:lang w:eastAsia="zh-CN"/>
    </w:rPr>
  </w:style>
  <w:style w:type="paragraph" w:customStyle="1" w:styleId="ndice">
    <w:name w:val="Índice"/>
    <w:basedOn w:val="Normal"/>
    <w:pPr>
      <w:suppressLineNumbers/>
      <w:suppressAutoHyphens/>
    </w:pPr>
    <w:rPr>
      <w:rFonts w:ascii="Verdana" w:hAnsi="Verdana" w:cs="Mangal"/>
      <w:b/>
      <w:sz w:val="16"/>
      <w:szCs w:val="16"/>
      <w:lang w:eastAsia="zh-CN"/>
    </w:rPr>
  </w:style>
  <w:style w:type="paragraph" w:styleId="Encabezado">
    <w:name w:val="header"/>
    <w:basedOn w:val="Normal"/>
    <w:pPr>
      <w:suppressAutoHyphens/>
    </w:pPr>
    <w:rPr>
      <w:rFonts w:ascii="Verdana" w:hAnsi="Verdana" w:cs="Verdana"/>
      <w:b/>
      <w:sz w:val="16"/>
      <w:szCs w:val="16"/>
      <w:lang w:eastAsia="zh-CN"/>
    </w:rPr>
  </w:style>
  <w:style w:type="paragraph" w:styleId="Piedepgina">
    <w:name w:val="footer"/>
    <w:basedOn w:val="Normal"/>
    <w:pPr>
      <w:suppressAutoHyphens/>
    </w:pPr>
    <w:rPr>
      <w:rFonts w:ascii="Verdana" w:hAnsi="Verdana" w:cs="Verdana"/>
      <w:b/>
      <w:sz w:val="16"/>
      <w:szCs w:val="16"/>
      <w:lang w:eastAsia="zh-CN"/>
    </w:rPr>
  </w:style>
  <w:style w:type="paragraph" w:styleId="Textodeglobo">
    <w:name w:val="Balloon Text"/>
    <w:basedOn w:val="Normal"/>
    <w:pPr>
      <w:suppressAutoHyphens/>
    </w:pPr>
    <w:rPr>
      <w:rFonts w:ascii="Tahoma" w:hAnsi="Tahoma" w:cs="Tahoma"/>
      <w:b/>
      <w:sz w:val="16"/>
      <w:szCs w:val="16"/>
      <w:lang w:eastAsia="zh-CN"/>
    </w:rPr>
  </w:style>
  <w:style w:type="paragraph" w:styleId="Subttulo">
    <w:name w:val="Subtitle"/>
    <w:basedOn w:val="Normal"/>
    <w:next w:val="Normal"/>
    <w:qFormat/>
    <w:pPr>
      <w:suppressAutoHyphens/>
      <w:spacing w:after="60"/>
      <w:jc w:val="center"/>
    </w:pPr>
    <w:rPr>
      <w:rFonts w:ascii="Cambria" w:hAnsi="Cambria" w:cs="Cambria"/>
      <w:b/>
      <w:sz w:val="16"/>
      <w:szCs w:val="16"/>
      <w:lang w:eastAsia="zh-CN"/>
    </w:rPr>
  </w:style>
  <w:style w:type="paragraph" w:styleId="Sinespaciado">
    <w:name w:val="No Spacing"/>
    <w:basedOn w:val="Normal"/>
    <w:qFormat/>
    <w:pPr>
      <w:suppressAutoHyphens/>
    </w:pPr>
    <w:rPr>
      <w:rFonts w:ascii="Verdana" w:hAnsi="Verdana" w:cs="Verdana"/>
      <w:b/>
      <w:sz w:val="16"/>
      <w:szCs w:val="32"/>
      <w:lang w:eastAsia="zh-CN"/>
    </w:rPr>
  </w:style>
  <w:style w:type="paragraph" w:styleId="Prrafodelista">
    <w:name w:val="List Paragraph"/>
    <w:basedOn w:val="Normal"/>
    <w:uiPriority w:val="34"/>
    <w:qFormat/>
    <w:pPr>
      <w:suppressAutoHyphens/>
      <w:ind w:left="720"/>
      <w:contextualSpacing/>
    </w:pPr>
    <w:rPr>
      <w:rFonts w:ascii="Verdana" w:hAnsi="Verdana" w:cs="Verdana"/>
      <w:b/>
      <w:sz w:val="16"/>
      <w:szCs w:val="16"/>
      <w:lang w:eastAsia="zh-CN"/>
    </w:rPr>
  </w:style>
  <w:style w:type="paragraph" w:styleId="Cita">
    <w:name w:val="Quote"/>
    <w:basedOn w:val="Normal"/>
    <w:next w:val="Normal"/>
    <w:qFormat/>
    <w:pPr>
      <w:suppressAutoHyphens/>
    </w:pPr>
    <w:rPr>
      <w:rFonts w:ascii="Verdana" w:hAnsi="Verdana" w:cs="Verdana"/>
      <w:b/>
      <w:i/>
      <w:sz w:val="16"/>
      <w:szCs w:val="16"/>
      <w:lang w:eastAsia="zh-CN"/>
    </w:rPr>
  </w:style>
  <w:style w:type="paragraph" w:styleId="Citadestacada">
    <w:name w:val="Intense Quote"/>
    <w:basedOn w:val="Normal"/>
    <w:next w:val="Normal"/>
    <w:qFormat/>
    <w:pPr>
      <w:suppressAutoHyphens/>
      <w:ind w:left="720" w:right="720"/>
    </w:pPr>
    <w:rPr>
      <w:rFonts w:ascii="Verdana" w:hAnsi="Verdana" w:cs="Verdana"/>
      <w:b/>
      <w:i/>
      <w:sz w:val="16"/>
      <w:szCs w:val="22"/>
      <w:lang w:eastAsia="zh-CN"/>
    </w:rPr>
  </w:style>
  <w:style w:type="paragraph" w:customStyle="1" w:styleId="TtulodeTDC1">
    <w:name w:val="Título de TDC1"/>
    <w:basedOn w:val="Ttulo1"/>
    <w:next w:val="Normal"/>
    <w:qFormat/>
    <w:pPr>
      <w:numPr>
        <w:numId w:val="0"/>
      </w:numPr>
    </w:pPr>
  </w:style>
  <w:style w:type="character" w:styleId="Hipervnculo">
    <w:name w:val="Hyperlink"/>
    <w:uiPriority w:val="99"/>
    <w:semiHidden/>
    <w:unhideWhenUsed/>
    <w:rsid w:val="00E64A58"/>
    <w:rPr>
      <w:color w:val="0000FF"/>
      <w:u w:val="single"/>
    </w:rPr>
  </w:style>
  <w:style w:type="paragraph" w:styleId="NormalWeb">
    <w:name w:val="Normal (Web)"/>
    <w:basedOn w:val="Normal"/>
    <w:uiPriority w:val="99"/>
    <w:unhideWhenUsed/>
    <w:rsid w:val="00823D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7471">
      <w:bodyDiv w:val="1"/>
      <w:marLeft w:val="0"/>
      <w:marRight w:val="0"/>
      <w:marTop w:val="0"/>
      <w:marBottom w:val="0"/>
      <w:divBdr>
        <w:top w:val="none" w:sz="0" w:space="0" w:color="auto"/>
        <w:left w:val="none" w:sz="0" w:space="0" w:color="auto"/>
        <w:bottom w:val="none" w:sz="0" w:space="0" w:color="auto"/>
        <w:right w:val="none" w:sz="0" w:space="0" w:color="auto"/>
      </w:divBdr>
    </w:div>
    <w:div w:id="167671050">
      <w:bodyDiv w:val="1"/>
      <w:marLeft w:val="0"/>
      <w:marRight w:val="0"/>
      <w:marTop w:val="0"/>
      <w:marBottom w:val="0"/>
      <w:divBdr>
        <w:top w:val="none" w:sz="0" w:space="0" w:color="auto"/>
        <w:left w:val="none" w:sz="0" w:space="0" w:color="auto"/>
        <w:bottom w:val="none" w:sz="0" w:space="0" w:color="auto"/>
        <w:right w:val="none" w:sz="0" w:space="0" w:color="auto"/>
      </w:divBdr>
    </w:div>
    <w:div w:id="194462739">
      <w:bodyDiv w:val="1"/>
      <w:marLeft w:val="0"/>
      <w:marRight w:val="0"/>
      <w:marTop w:val="0"/>
      <w:marBottom w:val="0"/>
      <w:divBdr>
        <w:top w:val="none" w:sz="0" w:space="0" w:color="auto"/>
        <w:left w:val="none" w:sz="0" w:space="0" w:color="auto"/>
        <w:bottom w:val="none" w:sz="0" w:space="0" w:color="auto"/>
        <w:right w:val="none" w:sz="0" w:space="0" w:color="auto"/>
      </w:divBdr>
      <w:divsChild>
        <w:div w:id="1272321763">
          <w:marLeft w:val="0"/>
          <w:marRight w:val="0"/>
          <w:marTop w:val="0"/>
          <w:marBottom w:val="0"/>
          <w:divBdr>
            <w:top w:val="none" w:sz="0" w:space="0" w:color="auto"/>
            <w:left w:val="none" w:sz="0" w:space="0" w:color="auto"/>
            <w:bottom w:val="none" w:sz="0" w:space="0" w:color="auto"/>
            <w:right w:val="none" w:sz="0" w:space="0" w:color="auto"/>
          </w:divBdr>
        </w:div>
      </w:divsChild>
    </w:div>
    <w:div w:id="220872110">
      <w:bodyDiv w:val="1"/>
      <w:marLeft w:val="0"/>
      <w:marRight w:val="0"/>
      <w:marTop w:val="0"/>
      <w:marBottom w:val="0"/>
      <w:divBdr>
        <w:top w:val="none" w:sz="0" w:space="0" w:color="auto"/>
        <w:left w:val="none" w:sz="0" w:space="0" w:color="auto"/>
        <w:bottom w:val="none" w:sz="0" w:space="0" w:color="auto"/>
        <w:right w:val="none" w:sz="0" w:space="0" w:color="auto"/>
      </w:divBdr>
    </w:div>
    <w:div w:id="323238107">
      <w:bodyDiv w:val="1"/>
      <w:marLeft w:val="0"/>
      <w:marRight w:val="0"/>
      <w:marTop w:val="0"/>
      <w:marBottom w:val="0"/>
      <w:divBdr>
        <w:top w:val="none" w:sz="0" w:space="0" w:color="auto"/>
        <w:left w:val="none" w:sz="0" w:space="0" w:color="auto"/>
        <w:bottom w:val="none" w:sz="0" w:space="0" w:color="auto"/>
        <w:right w:val="none" w:sz="0" w:space="0" w:color="auto"/>
      </w:divBdr>
    </w:div>
    <w:div w:id="648435779">
      <w:bodyDiv w:val="1"/>
      <w:marLeft w:val="0"/>
      <w:marRight w:val="0"/>
      <w:marTop w:val="0"/>
      <w:marBottom w:val="0"/>
      <w:divBdr>
        <w:top w:val="none" w:sz="0" w:space="0" w:color="auto"/>
        <w:left w:val="none" w:sz="0" w:space="0" w:color="auto"/>
        <w:bottom w:val="none" w:sz="0" w:space="0" w:color="auto"/>
        <w:right w:val="none" w:sz="0" w:space="0" w:color="auto"/>
      </w:divBdr>
    </w:div>
    <w:div w:id="680546317">
      <w:bodyDiv w:val="1"/>
      <w:marLeft w:val="0"/>
      <w:marRight w:val="0"/>
      <w:marTop w:val="0"/>
      <w:marBottom w:val="0"/>
      <w:divBdr>
        <w:top w:val="none" w:sz="0" w:space="0" w:color="auto"/>
        <w:left w:val="none" w:sz="0" w:space="0" w:color="auto"/>
        <w:bottom w:val="none" w:sz="0" w:space="0" w:color="auto"/>
        <w:right w:val="none" w:sz="0" w:space="0" w:color="auto"/>
      </w:divBdr>
    </w:div>
    <w:div w:id="936906921">
      <w:bodyDiv w:val="1"/>
      <w:marLeft w:val="0"/>
      <w:marRight w:val="0"/>
      <w:marTop w:val="0"/>
      <w:marBottom w:val="0"/>
      <w:divBdr>
        <w:top w:val="none" w:sz="0" w:space="0" w:color="auto"/>
        <w:left w:val="none" w:sz="0" w:space="0" w:color="auto"/>
        <w:bottom w:val="none" w:sz="0" w:space="0" w:color="auto"/>
        <w:right w:val="none" w:sz="0" w:space="0" w:color="auto"/>
      </w:divBdr>
    </w:div>
    <w:div w:id="1053962441">
      <w:bodyDiv w:val="1"/>
      <w:marLeft w:val="0"/>
      <w:marRight w:val="0"/>
      <w:marTop w:val="0"/>
      <w:marBottom w:val="0"/>
      <w:divBdr>
        <w:top w:val="none" w:sz="0" w:space="0" w:color="auto"/>
        <w:left w:val="none" w:sz="0" w:space="0" w:color="auto"/>
        <w:bottom w:val="none" w:sz="0" w:space="0" w:color="auto"/>
        <w:right w:val="none" w:sz="0" w:space="0" w:color="auto"/>
      </w:divBdr>
    </w:div>
    <w:div w:id="1144586672">
      <w:bodyDiv w:val="1"/>
      <w:marLeft w:val="0"/>
      <w:marRight w:val="0"/>
      <w:marTop w:val="0"/>
      <w:marBottom w:val="0"/>
      <w:divBdr>
        <w:top w:val="none" w:sz="0" w:space="0" w:color="auto"/>
        <w:left w:val="none" w:sz="0" w:space="0" w:color="auto"/>
        <w:bottom w:val="none" w:sz="0" w:space="0" w:color="auto"/>
        <w:right w:val="none" w:sz="0" w:space="0" w:color="auto"/>
      </w:divBdr>
    </w:div>
    <w:div w:id="1205413259">
      <w:bodyDiv w:val="1"/>
      <w:marLeft w:val="0"/>
      <w:marRight w:val="0"/>
      <w:marTop w:val="0"/>
      <w:marBottom w:val="0"/>
      <w:divBdr>
        <w:top w:val="none" w:sz="0" w:space="0" w:color="auto"/>
        <w:left w:val="none" w:sz="0" w:space="0" w:color="auto"/>
        <w:bottom w:val="none" w:sz="0" w:space="0" w:color="auto"/>
        <w:right w:val="none" w:sz="0" w:space="0" w:color="auto"/>
      </w:divBdr>
    </w:div>
    <w:div w:id="1255897664">
      <w:bodyDiv w:val="1"/>
      <w:marLeft w:val="0"/>
      <w:marRight w:val="0"/>
      <w:marTop w:val="0"/>
      <w:marBottom w:val="0"/>
      <w:divBdr>
        <w:top w:val="none" w:sz="0" w:space="0" w:color="auto"/>
        <w:left w:val="none" w:sz="0" w:space="0" w:color="auto"/>
        <w:bottom w:val="none" w:sz="0" w:space="0" w:color="auto"/>
        <w:right w:val="none" w:sz="0" w:space="0" w:color="auto"/>
      </w:divBdr>
    </w:div>
    <w:div w:id="1283220829">
      <w:bodyDiv w:val="1"/>
      <w:marLeft w:val="0"/>
      <w:marRight w:val="0"/>
      <w:marTop w:val="0"/>
      <w:marBottom w:val="0"/>
      <w:divBdr>
        <w:top w:val="none" w:sz="0" w:space="0" w:color="auto"/>
        <w:left w:val="none" w:sz="0" w:space="0" w:color="auto"/>
        <w:bottom w:val="none" w:sz="0" w:space="0" w:color="auto"/>
        <w:right w:val="none" w:sz="0" w:space="0" w:color="auto"/>
      </w:divBdr>
    </w:div>
    <w:div w:id="1402218403">
      <w:bodyDiv w:val="1"/>
      <w:marLeft w:val="0"/>
      <w:marRight w:val="0"/>
      <w:marTop w:val="0"/>
      <w:marBottom w:val="0"/>
      <w:divBdr>
        <w:top w:val="none" w:sz="0" w:space="0" w:color="auto"/>
        <w:left w:val="none" w:sz="0" w:space="0" w:color="auto"/>
        <w:bottom w:val="none" w:sz="0" w:space="0" w:color="auto"/>
        <w:right w:val="none" w:sz="0" w:space="0" w:color="auto"/>
      </w:divBdr>
    </w:div>
    <w:div w:id="1425491386">
      <w:bodyDiv w:val="1"/>
      <w:marLeft w:val="0"/>
      <w:marRight w:val="0"/>
      <w:marTop w:val="0"/>
      <w:marBottom w:val="0"/>
      <w:divBdr>
        <w:top w:val="none" w:sz="0" w:space="0" w:color="auto"/>
        <w:left w:val="none" w:sz="0" w:space="0" w:color="auto"/>
        <w:bottom w:val="none" w:sz="0" w:space="0" w:color="auto"/>
        <w:right w:val="none" w:sz="0" w:space="0" w:color="auto"/>
      </w:divBdr>
    </w:div>
    <w:div w:id="1572502330">
      <w:bodyDiv w:val="1"/>
      <w:marLeft w:val="0"/>
      <w:marRight w:val="0"/>
      <w:marTop w:val="0"/>
      <w:marBottom w:val="0"/>
      <w:divBdr>
        <w:top w:val="none" w:sz="0" w:space="0" w:color="auto"/>
        <w:left w:val="none" w:sz="0" w:space="0" w:color="auto"/>
        <w:bottom w:val="none" w:sz="0" w:space="0" w:color="auto"/>
        <w:right w:val="none" w:sz="0" w:space="0" w:color="auto"/>
      </w:divBdr>
    </w:div>
    <w:div w:id="1592621139">
      <w:bodyDiv w:val="1"/>
      <w:marLeft w:val="0"/>
      <w:marRight w:val="0"/>
      <w:marTop w:val="0"/>
      <w:marBottom w:val="0"/>
      <w:divBdr>
        <w:top w:val="none" w:sz="0" w:space="0" w:color="auto"/>
        <w:left w:val="none" w:sz="0" w:space="0" w:color="auto"/>
        <w:bottom w:val="none" w:sz="0" w:space="0" w:color="auto"/>
        <w:right w:val="none" w:sz="0" w:space="0" w:color="auto"/>
      </w:divBdr>
    </w:div>
    <w:div w:id="1632250911">
      <w:bodyDiv w:val="1"/>
      <w:marLeft w:val="0"/>
      <w:marRight w:val="0"/>
      <w:marTop w:val="0"/>
      <w:marBottom w:val="0"/>
      <w:divBdr>
        <w:top w:val="none" w:sz="0" w:space="0" w:color="auto"/>
        <w:left w:val="none" w:sz="0" w:space="0" w:color="auto"/>
        <w:bottom w:val="none" w:sz="0" w:space="0" w:color="auto"/>
        <w:right w:val="none" w:sz="0" w:space="0" w:color="auto"/>
      </w:divBdr>
    </w:div>
    <w:div w:id="1698891462">
      <w:bodyDiv w:val="1"/>
      <w:marLeft w:val="0"/>
      <w:marRight w:val="0"/>
      <w:marTop w:val="0"/>
      <w:marBottom w:val="0"/>
      <w:divBdr>
        <w:top w:val="none" w:sz="0" w:space="0" w:color="auto"/>
        <w:left w:val="none" w:sz="0" w:space="0" w:color="auto"/>
        <w:bottom w:val="none" w:sz="0" w:space="0" w:color="auto"/>
        <w:right w:val="none" w:sz="0" w:space="0" w:color="auto"/>
      </w:divBdr>
    </w:div>
    <w:div w:id="178731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rie\Thema%20International\Fenavin%202017\Plantilla_FENAVI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Plantilla_FENAVIN.DOTX</Template>
  <TotalTime>89</TotalTime>
  <Pages>1</Pages>
  <Words>442</Words>
  <Characters>2435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Calderon Sund</dc:creator>
  <cp:keywords/>
  <dc:description/>
  <cp:lastModifiedBy>Usuario</cp:lastModifiedBy>
  <cp:revision>8</cp:revision>
  <cp:lastPrinted>2024-10-03T07:49:00Z</cp:lastPrinted>
  <dcterms:created xsi:type="dcterms:W3CDTF">2025-05-08T07:23:00Z</dcterms:created>
  <dcterms:modified xsi:type="dcterms:W3CDTF">2025-05-08T10:58:00Z</dcterms:modified>
</cp:coreProperties>
</file>