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D8AE1" w14:textId="77777777" w:rsidR="00815B34" w:rsidRPr="00AE31DF" w:rsidRDefault="00815B34" w:rsidP="00815B34">
      <w:pPr>
        <w:spacing w:before="240" w:after="240"/>
        <w:rPr>
          <w:rFonts w:asciiTheme="minorHAnsi" w:hAnsiTheme="minorHAnsi" w:cstheme="minorHAnsi"/>
          <w:b/>
          <w:sz w:val="36"/>
          <w:szCs w:val="36"/>
        </w:rPr>
      </w:pPr>
      <w:r w:rsidRPr="00AE31DF">
        <w:rPr>
          <w:rFonts w:asciiTheme="minorHAnsi" w:hAnsiTheme="minorHAnsi" w:cstheme="minorHAnsi"/>
          <w:b/>
          <w:sz w:val="36"/>
          <w:szCs w:val="36"/>
        </w:rPr>
        <w:t>FENAVIN analiza la relación entre vino y salud en una ponencia de expertos médicos</w:t>
      </w:r>
    </w:p>
    <w:p w14:paraId="2E35B574" w14:textId="77777777" w:rsidR="00815B34" w:rsidRPr="00AE31DF" w:rsidRDefault="00815B34" w:rsidP="00815B34">
      <w:pPr>
        <w:spacing w:before="240" w:after="240"/>
        <w:rPr>
          <w:rFonts w:asciiTheme="minorHAnsi" w:hAnsiTheme="minorHAnsi" w:cstheme="minorHAnsi"/>
          <w:b/>
          <w:sz w:val="36"/>
          <w:szCs w:val="36"/>
        </w:rPr>
      </w:pPr>
      <w:r w:rsidRPr="00AE31DF">
        <w:rPr>
          <w:rFonts w:asciiTheme="minorHAnsi" w:hAnsiTheme="minorHAnsi" w:cstheme="minorHAnsi"/>
          <w:b/>
        </w:rPr>
        <w:t>Han analizado los beneficios del vino en el bienestar físico, mental y social, destacando la importancia del consumo moderado</w:t>
      </w:r>
    </w:p>
    <w:p w14:paraId="5D7EEEAB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  <w:b/>
        </w:rPr>
        <w:t>Ciudad Real, 06-05-2025.</w:t>
      </w:r>
      <w:r w:rsidRPr="00815B34">
        <w:rPr>
          <w:rFonts w:asciiTheme="minorHAnsi" w:hAnsiTheme="minorHAnsi" w:cstheme="minorHAnsi"/>
        </w:rPr>
        <w:t xml:space="preserve"> La Feria Nacional del Vino (FENAVIN), que se celebra del 6 al 11 de mayo, ha acogido la ponencia ‘Vino y salud’, una charla en la que se ha abordado el impacto del consumo moderado de vino en el bienestar físico, mental y social. El encuentro ha contado con la participación de Javier Paulino, médico reumatólogo, y Ricardo Chamorro, médico endocrinólogo, que han ofrecido una mirada científica y cultural sobre esta bebida milenaria.</w:t>
      </w:r>
    </w:p>
    <w:p w14:paraId="6996F38E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 xml:space="preserve">Durante su intervención, han destacado los beneficios del vino y los riesgos asociados al consumo de alcohol.  “Hablar del vino es hablar de la antigüedad y hablar de salud es hablar de alimentación”, ha señalado Chamorro, quien ha centrado su intervención en los compuestos antioxidantes presentes en el vino, como los polifenoles. </w:t>
      </w:r>
    </w:p>
    <w:p w14:paraId="5F0A7BD4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 xml:space="preserve">Chamorro ha subrayado la importancia del </w:t>
      </w:r>
      <w:r w:rsidRPr="00815B34">
        <w:rPr>
          <w:rFonts w:asciiTheme="minorHAnsi" w:hAnsiTheme="minorHAnsi" w:cstheme="minorHAnsi"/>
          <w:b/>
        </w:rPr>
        <w:t>resveratrol</w:t>
      </w:r>
      <w:r w:rsidRPr="00815B34">
        <w:rPr>
          <w:rFonts w:asciiTheme="minorHAnsi" w:hAnsiTheme="minorHAnsi" w:cstheme="minorHAnsi"/>
        </w:rPr>
        <w:t>, “un polifenol que puede aumentar la vida”, por su capacidad para combatir el estrés oxidativo, actuar sobre el envejecimiento, las enfermedades cardiovasculares y las infecciones.</w:t>
      </w:r>
    </w:p>
    <w:p w14:paraId="303D6DC6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 xml:space="preserve">Chamorro también ha destacado que el vino puede formar parte de la </w:t>
      </w:r>
      <w:r w:rsidRPr="00815B34">
        <w:rPr>
          <w:rFonts w:asciiTheme="minorHAnsi" w:hAnsiTheme="minorHAnsi" w:cstheme="minorHAnsi"/>
          <w:b/>
        </w:rPr>
        <w:t>dieta mediterránea</w:t>
      </w:r>
      <w:r w:rsidRPr="00815B34">
        <w:rPr>
          <w:rFonts w:asciiTheme="minorHAnsi" w:hAnsiTheme="minorHAnsi" w:cstheme="minorHAnsi"/>
        </w:rPr>
        <w:t xml:space="preserve">, “entendida como un estilo de vida saludable y sostenible”. “La dieta mediterránea también tiene que ver con el impacto climático”, ha añadido. </w:t>
      </w:r>
    </w:p>
    <w:p w14:paraId="3FA92523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>Dicho esto, ha advertido que el alcohol puede tener consecuencias negativas si se consume en exceso, generando problemas sociales y de salud: “Está claro que el alcohol no es positivo totalmente, depende de la cantidad”.</w:t>
      </w:r>
    </w:p>
    <w:p w14:paraId="5702923F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 xml:space="preserve">Por su parte, Javier Paulino ha defendido el </w:t>
      </w:r>
      <w:r w:rsidRPr="00815B34">
        <w:rPr>
          <w:rFonts w:asciiTheme="minorHAnsi" w:hAnsiTheme="minorHAnsi" w:cstheme="minorHAnsi"/>
          <w:b/>
        </w:rPr>
        <w:t>consumo moderado de vino</w:t>
      </w:r>
      <w:r w:rsidRPr="00815B34">
        <w:rPr>
          <w:rFonts w:asciiTheme="minorHAnsi" w:hAnsiTheme="minorHAnsi" w:cstheme="minorHAnsi"/>
        </w:rPr>
        <w:t xml:space="preserve"> como un acto cargado de valor cultural, social y emocional. “Tomar vino en familia, brindar con amigos o cerrar acuerdos puede facilitar la empatía”, ha afirmado, remarcando que “el consumo moderado de vino alegra la vida, mejora la calidad de vida y nos hace mejores”. Para Paulino, ser feliz es alcanzar el bienestar físico, mental y social, algo especialmente necesario “en un mundo complejo, violento y deshumanizado”.</w:t>
      </w:r>
    </w:p>
    <w:p w14:paraId="18B14F42" w14:textId="77777777" w:rsidR="00815B34" w:rsidRPr="00815B34" w:rsidRDefault="00815B34" w:rsidP="00815B34">
      <w:pPr>
        <w:spacing w:before="240" w:after="240"/>
        <w:rPr>
          <w:rFonts w:asciiTheme="minorHAnsi" w:hAnsiTheme="minorHAnsi" w:cstheme="minorHAnsi"/>
        </w:rPr>
      </w:pPr>
      <w:r w:rsidRPr="00815B34">
        <w:rPr>
          <w:rFonts w:asciiTheme="minorHAnsi" w:hAnsiTheme="minorHAnsi" w:cstheme="minorHAnsi"/>
        </w:rPr>
        <w:t xml:space="preserve">Ambos expertos han coincidido en que la </w:t>
      </w:r>
      <w:r w:rsidRPr="00815B34">
        <w:rPr>
          <w:rFonts w:asciiTheme="minorHAnsi" w:hAnsiTheme="minorHAnsi" w:cstheme="minorHAnsi"/>
          <w:b/>
        </w:rPr>
        <w:t>cultura del vino</w:t>
      </w:r>
      <w:r w:rsidRPr="00815B34">
        <w:rPr>
          <w:rFonts w:asciiTheme="minorHAnsi" w:hAnsiTheme="minorHAnsi" w:cstheme="minorHAnsi"/>
        </w:rPr>
        <w:t xml:space="preserve"> va más allá de lo gastronómico, y han puesto como ejemplo a regiones vitivinícolas como </w:t>
      </w:r>
      <w:r w:rsidRPr="00815B34">
        <w:rPr>
          <w:rFonts w:asciiTheme="minorHAnsi" w:hAnsiTheme="minorHAnsi" w:cstheme="minorHAnsi"/>
          <w:b/>
        </w:rPr>
        <w:t>Burdeos y Borgoña</w:t>
      </w:r>
      <w:r w:rsidRPr="00815B34">
        <w:rPr>
          <w:rFonts w:asciiTheme="minorHAnsi" w:hAnsiTheme="minorHAnsi" w:cstheme="minorHAnsi"/>
        </w:rPr>
        <w:t>, en Francia, donde existe una fuerte tradición vinícola y, sin embargo, presentan una baja tasa de alcoholismo.</w:t>
      </w:r>
    </w:p>
    <w:p w14:paraId="2D2843D5" w14:textId="00DD2DAA" w:rsidR="00842AAB" w:rsidRPr="00815B34" w:rsidRDefault="00842AAB" w:rsidP="00815B34"/>
    <w:sectPr w:rsidR="00842AAB" w:rsidRPr="00815B34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A5BA" w14:textId="77777777" w:rsidR="00D021A8" w:rsidRDefault="00D021A8">
      <w:r>
        <w:separator/>
      </w:r>
    </w:p>
  </w:endnote>
  <w:endnote w:type="continuationSeparator" w:id="0">
    <w:p w14:paraId="138AC60C" w14:textId="77777777" w:rsidR="00D021A8" w:rsidRDefault="00D0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0903" w14:textId="77777777" w:rsidR="00D021A8" w:rsidRDefault="00D021A8">
      <w:r>
        <w:separator/>
      </w:r>
    </w:p>
  </w:footnote>
  <w:footnote w:type="continuationSeparator" w:id="0">
    <w:p w14:paraId="73B6E8DF" w14:textId="77777777" w:rsidR="00D021A8" w:rsidRDefault="00D0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059">
    <w:abstractNumId w:val="0"/>
  </w:num>
  <w:num w:numId="2" w16cid:durableId="1406024629">
    <w:abstractNumId w:val="1"/>
  </w:num>
  <w:num w:numId="3" w16cid:durableId="1449856654">
    <w:abstractNumId w:val="6"/>
  </w:num>
  <w:num w:numId="4" w16cid:durableId="2116828371">
    <w:abstractNumId w:val="4"/>
  </w:num>
  <w:num w:numId="5" w16cid:durableId="1358772174">
    <w:abstractNumId w:val="9"/>
  </w:num>
  <w:num w:numId="6" w16cid:durableId="205802987">
    <w:abstractNumId w:val="2"/>
  </w:num>
  <w:num w:numId="7" w16cid:durableId="1718772930">
    <w:abstractNumId w:val="7"/>
  </w:num>
  <w:num w:numId="8" w16cid:durableId="1112168116">
    <w:abstractNumId w:val="5"/>
  </w:num>
  <w:num w:numId="9" w16cid:durableId="681862065">
    <w:abstractNumId w:val="8"/>
  </w:num>
  <w:num w:numId="10" w16cid:durableId="1516963219">
    <w:abstractNumId w:val="10"/>
  </w:num>
  <w:num w:numId="11" w16cid:durableId="82937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0578"/>
    <w:rsid w:val="00036358"/>
    <w:rsid w:val="00052763"/>
    <w:rsid w:val="00062792"/>
    <w:rsid w:val="00065814"/>
    <w:rsid w:val="0006597F"/>
    <w:rsid w:val="00086A13"/>
    <w:rsid w:val="00091B3B"/>
    <w:rsid w:val="000974E9"/>
    <w:rsid w:val="00097508"/>
    <w:rsid w:val="000A176F"/>
    <w:rsid w:val="000B4996"/>
    <w:rsid w:val="000B6D7E"/>
    <w:rsid w:val="000C6E05"/>
    <w:rsid w:val="000E348B"/>
    <w:rsid w:val="00111F99"/>
    <w:rsid w:val="00114A18"/>
    <w:rsid w:val="001203D4"/>
    <w:rsid w:val="001227FB"/>
    <w:rsid w:val="00137D9C"/>
    <w:rsid w:val="00146259"/>
    <w:rsid w:val="00147A4C"/>
    <w:rsid w:val="00157ED4"/>
    <w:rsid w:val="00165C27"/>
    <w:rsid w:val="00174211"/>
    <w:rsid w:val="001A1B15"/>
    <w:rsid w:val="001A6F12"/>
    <w:rsid w:val="001E7D2A"/>
    <w:rsid w:val="0020235A"/>
    <w:rsid w:val="00215116"/>
    <w:rsid w:val="00232400"/>
    <w:rsid w:val="00266434"/>
    <w:rsid w:val="00276550"/>
    <w:rsid w:val="002779AD"/>
    <w:rsid w:val="00283692"/>
    <w:rsid w:val="002926C6"/>
    <w:rsid w:val="0029718A"/>
    <w:rsid w:val="002B3E5F"/>
    <w:rsid w:val="002B496F"/>
    <w:rsid w:val="002E0FC9"/>
    <w:rsid w:val="00307086"/>
    <w:rsid w:val="0036298E"/>
    <w:rsid w:val="00386E68"/>
    <w:rsid w:val="003B23EB"/>
    <w:rsid w:val="003C1466"/>
    <w:rsid w:val="004064EA"/>
    <w:rsid w:val="00463B16"/>
    <w:rsid w:val="00481C1B"/>
    <w:rsid w:val="00490854"/>
    <w:rsid w:val="004A3A0E"/>
    <w:rsid w:val="004A4ED8"/>
    <w:rsid w:val="004D5829"/>
    <w:rsid w:val="004F0F62"/>
    <w:rsid w:val="00547E98"/>
    <w:rsid w:val="00557085"/>
    <w:rsid w:val="005834B9"/>
    <w:rsid w:val="00590DFC"/>
    <w:rsid w:val="00592078"/>
    <w:rsid w:val="005B1E0C"/>
    <w:rsid w:val="005D103C"/>
    <w:rsid w:val="005E0955"/>
    <w:rsid w:val="005F13D5"/>
    <w:rsid w:val="005F355D"/>
    <w:rsid w:val="00610B68"/>
    <w:rsid w:val="00612BC3"/>
    <w:rsid w:val="00613A87"/>
    <w:rsid w:val="006406F6"/>
    <w:rsid w:val="00643CCD"/>
    <w:rsid w:val="00646895"/>
    <w:rsid w:val="00656E65"/>
    <w:rsid w:val="00672D53"/>
    <w:rsid w:val="00685D62"/>
    <w:rsid w:val="00695B7E"/>
    <w:rsid w:val="006E11E8"/>
    <w:rsid w:val="006E226F"/>
    <w:rsid w:val="006F2257"/>
    <w:rsid w:val="006F5558"/>
    <w:rsid w:val="0072029C"/>
    <w:rsid w:val="0074219E"/>
    <w:rsid w:val="0074337F"/>
    <w:rsid w:val="007545E1"/>
    <w:rsid w:val="00777238"/>
    <w:rsid w:val="00781CAE"/>
    <w:rsid w:val="00791D33"/>
    <w:rsid w:val="00797C54"/>
    <w:rsid w:val="007B20AE"/>
    <w:rsid w:val="007E177C"/>
    <w:rsid w:val="007F06D5"/>
    <w:rsid w:val="007F453A"/>
    <w:rsid w:val="0081446F"/>
    <w:rsid w:val="00815B34"/>
    <w:rsid w:val="00823DF8"/>
    <w:rsid w:val="008258B2"/>
    <w:rsid w:val="00842AAB"/>
    <w:rsid w:val="00850E86"/>
    <w:rsid w:val="00897EF7"/>
    <w:rsid w:val="008B72BE"/>
    <w:rsid w:val="008C4D15"/>
    <w:rsid w:val="008E1F59"/>
    <w:rsid w:val="008E28BF"/>
    <w:rsid w:val="008F2B85"/>
    <w:rsid w:val="00923283"/>
    <w:rsid w:val="00924145"/>
    <w:rsid w:val="00925941"/>
    <w:rsid w:val="00942DFF"/>
    <w:rsid w:val="00953642"/>
    <w:rsid w:val="00982810"/>
    <w:rsid w:val="00985D4A"/>
    <w:rsid w:val="00993431"/>
    <w:rsid w:val="009A2387"/>
    <w:rsid w:val="009A7D2D"/>
    <w:rsid w:val="009B3CED"/>
    <w:rsid w:val="009B57F0"/>
    <w:rsid w:val="009B591E"/>
    <w:rsid w:val="009B7330"/>
    <w:rsid w:val="009C6AF5"/>
    <w:rsid w:val="009C6EE5"/>
    <w:rsid w:val="009E16AB"/>
    <w:rsid w:val="00A03AF7"/>
    <w:rsid w:val="00A2386F"/>
    <w:rsid w:val="00A316A5"/>
    <w:rsid w:val="00A4388D"/>
    <w:rsid w:val="00A46937"/>
    <w:rsid w:val="00A61119"/>
    <w:rsid w:val="00A61268"/>
    <w:rsid w:val="00A96B52"/>
    <w:rsid w:val="00AC7AAC"/>
    <w:rsid w:val="00AD5381"/>
    <w:rsid w:val="00AE31DF"/>
    <w:rsid w:val="00AE7257"/>
    <w:rsid w:val="00B16A8B"/>
    <w:rsid w:val="00B2015E"/>
    <w:rsid w:val="00B77378"/>
    <w:rsid w:val="00B77E5A"/>
    <w:rsid w:val="00B816DE"/>
    <w:rsid w:val="00BB19FF"/>
    <w:rsid w:val="00BB6065"/>
    <w:rsid w:val="00BD007F"/>
    <w:rsid w:val="00BD0DAA"/>
    <w:rsid w:val="00C00AAE"/>
    <w:rsid w:val="00C03A69"/>
    <w:rsid w:val="00C15FF8"/>
    <w:rsid w:val="00C359DE"/>
    <w:rsid w:val="00C44344"/>
    <w:rsid w:val="00C56A37"/>
    <w:rsid w:val="00C70684"/>
    <w:rsid w:val="00C962EB"/>
    <w:rsid w:val="00CD1A4F"/>
    <w:rsid w:val="00CE2E13"/>
    <w:rsid w:val="00CE317E"/>
    <w:rsid w:val="00CE696C"/>
    <w:rsid w:val="00D0211C"/>
    <w:rsid w:val="00D021A8"/>
    <w:rsid w:val="00D16027"/>
    <w:rsid w:val="00D6246D"/>
    <w:rsid w:val="00D76558"/>
    <w:rsid w:val="00D776DE"/>
    <w:rsid w:val="00D8579E"/>
    <w:rsid w:val="00D85BB9"/>
    <w:rsid w:val="00DC28D0"/>
    <w:rsid w:val="00DC54D8"/>
    <w:rsid w:val="00DC57FA"/>
    <w:rsid w:val="00E074A2"/>
    <w:rsid w:val="00E1112F"/>
    <w:rsid w:val="00E16ACE"/>
    <w:rsid w:val="00E30A6A"/>
    <w:rsid w:val="00E349AD"/>
    <w:rsid w:val="00E55983"/>
    <w:rsid w:val="00E64A58"/>
    <w:rsid w:val="00E7000C"/>
    <w:rsid w:val="00E731CE"/>
    <w:rsid w:val="00E961C1"/>
    <w:rsid w:val="00EA7DCE"/>
    <w:rsid w:val="00EB5848"/>
    <w:rsid w:val="00F020F7"/>
    <w:rsid w:val="00F15E03"/>
    <w:rsid w:val="00F42DE0"/>
    <w:rsid w:val="00F47969"/>
    <w:rsid w:val="00F62664"/>
    <w:rsid w:val="00F754F7"/>
    <w:rsid w:val="00F814C1"/>
    <w:rsid w:val="00F8365B"/>
    <w:rsid w:val="00F868E5"/>
    <w:rsid w:val="00FA0288"/>
    <w:rsid w:val="00FA0F1A"/>
    <w:rsid w:val="00FA2B97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476-ED8F-4E23-8557-62DAD6ED9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2025-05-06T09:59:00Z</cp:lastPrinted>
  <dcterms:created xsi:type="dcterms:W3CDTF">2025-05-06T09:59:00Z</dcterms:created>
  <dcterms:modified xsi:type="dcterms:W3CDTF">2025-05-06T11:30:00Z</dcterms:modified>
</cp:coreProperties>
</file>